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Powerful Under Pressure Brand Guide</w:t>
      </w:r>
    </w:p>
    <w:p>
      <w:r>
        <w:t>Dr. Susan Bernstein • October 2026 • Working draft</w:t>
      </w:r>
    </w:p>
    <w:p>
      <w:r>
        <w:t>Use this guide when creating posts, presentations, promotions, coaching materials, and video graphics. It brings together the current brand direction and exact colors. Proposed design rules are identified below; remaining visual choices will be confirmed through examples. This guide replaces the outdated PuP Brand Kit.</w:t>
      </w:r>
    </w:p>
    <w:p>
      <w:pPr>
        <w:pStyle w:val="Heading1"/>
      </w:pPr>
      <w:r>
        <w:t>Identity and core message</w:t>
      </w:r>
    </w:p>
    <w:p>
      <w:r>
        <w:t>Lead with Dr. Susan Bernstein on LinkedIn insight posts and individual coaching materials. Powerful Under Pressure supports her name and identifies the team behind the work.</w:t>
      </w:r>
    </w:p>
    <w:p>
      <w:r>
        <w:t>My team and I at Powerful Under Pressure help smart, accomplished leaders see more possibilities and find a way forward when pressure, conflict, or change makes it hard to know what to do.</w:t>
      </w:r>
    </w:p>
    <w:p>
      <w:pPr>
        <w:pStyle w:val="Heading1"/>
      </w:pPr>
      <w:r>
        <w:t>Audience and invitation</w:t>
      </w:r>
    </w:p>
    <w:p>
      <w:r>
        <w:t>Support smart, accomplished leaders navigating a bigger role, a difficult relationship, or unfamiliar demands. Also speak to leaders seeking support for a high performer on their team.</w:t>
      </w:r>
    </w:p>
    <w:p>
      <w:r>
        <w:t>Example closing:</w:t>
        <w:br/>
        <w:t>“If that’s you—or a high performer on your team navigating a bigger role, a difficult relationship, or unfamiliar demands—let’s talk about how we can help.”</w:t>
      </w:r>
    </w:p>
    <w:p>
      <w:pPr>
        <w:pStyle w:val="Heading1"/>
      </w:pPr>
      <w:r>
        <w:t>Feel and visual direction</w:t>
      </w:r>
    </w:p>
    <w:p>
      <w:r>
        <w:t>Calm and grounded. Energized and hopeful.</w:t>
      </w:r>
    </w:p>
    <w:p>
      <w:r>
        <w:t>Balance light and deep-blue backgrounds. Keep layouts uncluttered, with generous space and a clear reading order.</w:t>
      </w:r>
    </w:p>
    <w:p>
      <w:r>
        <w:t>Use natural photographs of people in believable workplace situations. Use simple diagrams to explain relationships, processes, choices, tensions, and shifts in perspective.</w:t>
      </w:r>
    </w:p>
    <w:p>
      <w:r>
        <w:br w:type="page"/>
      </w:r>
    </w:p>
    <w:p>
      <w:pPr>
        <w:pStyle w:val="Heading1"/>
      </w:pPr>
      <w:r>
        <w:t>Brand colors</w:t>
      </w:r>
    </w:p>
    <w:p>
      <w:r>
        <w:t>Use these exact HEX codes. The applications below are proposed starting guidelines.</w:t>
      </w:r>
    </w:p>
    <w:tbl>
      <w:tblPr>
        <w:tblW w:type="auto" w:w="0"/>
        <w:tblLayout w:type="fixed"/>
        <w:tblLook w:firstColumn="1" w:firstRow="1" w:lastColumn="0" w:lastRow="0" w:noHBand="0" w:noVBand="1" w:val="04A0"/>
      </w:tblPr>
      <w:tblGrid>
        <w:gridCol w:w="2016"/>
        <w:gridCol w:w="1584"/>
        <w:gridCol w:w="6480"/>
      </w:tblGrid>
      <w:tr>
        <w:tc>
          <w:tcPr>
            <w:tcW w:type="dxa" w:w="3360"/>
            <w:tcBorders>
              <w:top w:val="single" w:sz="4" w:color="D9D9D9"/>
              <w:left w:val="single" w:sz="4" w:color="D9D9D9"/>
              <w:bottom w:val="single" w:sz="4" w:color="D9D9D9"/>
              <w:right w:val="single" w:sz="4" w:color="D9D9D9"/>
            </w:tcBorders>
            <w:shd w:fill="023047"/>
          </w:tcPr>
          <w:p>
            <w:pPr>
              <w:spacing w:before="120" w:after="120"/>
            </w:pPr>
            <w:r>
              <w:rPr>
                <w:b/>
                <w:color w:val="FFFFFF"/>
                <w:sz w:val="20"/>
              </w:rPr>
              <w:t>Color</w:t>
            </w:r>
          </w:p>
        </w:tc>
        <w:tc>
          <w:tcPr>
            <w:tcW w:type="dxa" w:w="3360"/>
            <w:tcBorders>
              <w:top w:val="single" w:sz="4" w:color="D9D9D9"/>
              <w:left w:val="single" w:sz="4" w:color="D9D9D9"/>
              <w:bottom w:val="single" w:sz="4" w:color="D9D9D9"/>
              <w:right w:val="single" w:sz="4" w:color="D9D9D9"/>
            </w:tcBorders>
            <w:shd w:fill="023047"/>
          </w:tcPr>
          <w:p>
            <w:pPr>
              <w:spacing w:before="120" w:after="120"/>
            </w:pPr>
            <w:r>
              <w:rPr>
                <w:b/>
                <w:color w:val="FFFFFF"/>
                <w:sz w:val="20"/>
              </w:rPr>
              <w:t>HEX</w:t>
            </w:r>
          </w:p>
        </w:tc>
        <w:tc>
          <w:tcPr>
            <w:tcW w:type="dxa" w:w="3360"/>
            <w:tcBorders>
              <w:top w:val="single" w:sz="4" w:color="D9D9D9"/>
              <w:left w:val="single" w:sz="4" w:color="D9D9D9"/>
              <w:bottom w:val="single" w:sz="4" w:color="D9D9D9"/>
              <w:right w:val="single" w:sz="4" w:color="D9D9D9"/>
            </w:tcBorders>
            <w:shd w:fill="023047"/>
          </w:tcPr>
          <w:p>
            <w:pPr>
              <w:spacing w:before="120" w:after="120"/>
            </w:pPr>
            <w:r>
              <w:rPr>
                <w:b/>
                <w:color w:val="FFFFFF"/>
                <w:sz w:val="20"/>
              </w:rPr>
              <w:t>Proposed use</w:t>
            </w:r>
          </w:p>
        </w:tc>
      </w:tr>
      <w:tr>
        <w:tc>
          <w:tcPr>
            <w:tcW w:type="dxa" w:w="2016"/>
            <w:shd w:fill="8ECAE6"/>
            <w:tcBorders>
              <w:top w:val="single" w:sz="4" w:color="D9D9D9"/>
              <w:left w:val="single" w:sz="4" w:color="D9D9D9"/>
              <w:bottom w:val="single" w:sz="4" w:color="D9D9D9"/>
              <w:right w:val="single" w:sz="4" w:color="D9D9D9"/>
            </w:tcBorders>
          </w:tcPr>
          <w:p>
            <w:pPr>
              <w:spacing w:before="120" w:after="120"/>
            </w:pPr>
            <w:r>
              <w:rPr>
                <w:color w:val="000000"/>
                <w:sz w:val="20"/>
              </w:rPr>
              <w:t>Light blue</w:t>
            </w:r>
          </w:p>
        </w:tc>
        <w:tc>
          <w:tcPr>
            <w:tcW w:type="dxa" w:w="1584"/>
            <w:tcBorders>
              <w:top w:val="single" w:sz="4" w:color="D9D9D9"/>
              <w:left w:val="single" w:sz="4" w:color="D9D9D9"/>
              <w:bottom w:val="single" w:sz="4" w:color="D9D9D9"/>
              <w:right w:val="single" w:sz="4" w:color="D9D9D9"/>
            </w:tcBorders>
          </w:tcPr>
          <w:p>
            <w:pPr>
              <w:spacing w:before="120" w:after="120"/>
            </w:pPr>
            <w:r>
              <w:rPr>
                <w:sz w:val="20"/>
              </w:rPr>
              <w:t>#8ECAE6</w:t>
            </w:r>
          </w:p>
        </w:tc>
        <w:tc>
          <w:tcPr>
            <w:tcW w:type="dxa" w:w="6480"/>
            <w:tcBorders>
              <w:top w:val="single" w:sz="4" w:color="D9D9D9"/>
              <w:left w:val="single" w:sz="4" w:color="D9D9D9"/>
              <w:bottom w:val="single" w:sz="4" w:color="D9D9D9"/>
              <w:right w:val="single" w:sz="4" w:color="D9D9D9"/>
            </w:tcBorders>
          </w:tcPr>
          <w:p>
            <w:pPr>
              <w:spacing w:before="120" w:after="120"/>
            </w:pPr>
            <w:r>
              <w:rPr>
                <w:sz w:val="20"/>
              </w:rPr>
              <w:t>Soft backgrounds and diagram highlights</w:t>
            </w:r>
          </w:p>
        </w:tc>
      </w:tr>
      <w:tr>
        <w:tc>
          <w:tcPr>
            <w:tcW w:type="dxa" w:w="2016"/>
            <w:shd w:fill="2193BC"/>
            <w:tcBorders>
              <w:top w:val="single" w:sz="4" w:color="D9D9D9"/>
              <w:left w:val="single" w:sz="4" w:color="D9D9D9"/>
              <w:bottom w:val="single" w:sz="4" w:color="D9D9D9"/>
              <w:right w:val="single" w:sz="4" w:color="D9D9D9"/>
            </w:tcBorders>
          </w:tcPr>
          <w:p>
            <w:pPr>
              <w:spacing w:before="120" w:after="120"/>
            </w:pPr>
            <w:r>
              <w:rPr>
                <w:color w:val="FFFFFF"/>
                <w:sz w:val="20"/>
              </w:rPr>
              <w:t>Medium blue</w:t>
            </w:r>
          </w:p>
        </w:tc>
        <w:tc>
          <w:tcPr>
            <w:tcW w:type="dxa" w:w="1584"/>
            <w:tcBorders>
              <w:top w:val="single" w:sz="4" w:color="D9D9D9"/>
              <w:left w:val="single" w:sz="4" w:color="D9D9D9"/>
              <w:bottom w:val="single" w:sz="4" w:color="D9D9D9"/>
              <w:right w:val="single" w:sz="4" w:color="D9D9D9"/>
            </w:tcBorders>
          </w:tcPr>
          <w:p>
            <w:pPr>
              <w:spacing w:before="120" w:after="120"/>
            </w:pPr>
            <w:r>
              <w:rPr>
                <w:sz w:val="20"/>
              </w:rPr>
              <w:t>#2193BC</w:t>
            </w:r>
          </w:p>
        </w:tc>
        <w:tc>
          <w:tcPr>
            <w:tcW w:type="dxa" w:w="6480"/>
            <w:tcBorders>
              <w:top w:val="single" w:sz="4" w:color="D9D9D9"/>
              <w:left w:val="single" w:sz="4" w:color="D9D9D9"/>
              <w:bottom w:val="single" w:sz="4" w:color="D9D9D9"/>
              <w:right w:val="single" w:sz="4" w:color="D9D9D9"/>
            </w:tcBorders>
          </w:tcPr>
          <w:p>
            <w:pPr>
              <w:spacing w:before="120" w:after="120"/>
            </w:pPr>
            <w:r>
              <w:rPr>
                <w:sz w:val="20"/>
              </w:rPr>
              <w:t>Supporting headings, icons, and diagram lines</w:t>
            </w:r>
          </w:p>
        </w:tc>
      </w:tr>
      <w:tr>
        <w:tc>
          <w:tcPr>
            <w:tcW w:type="dxa" w:w="2016"/>
            <w:shd w:fill="023047"/>
            <w:tcBorders>
              <w:top w:val="single" w:sz="4" w:color="D9D9D9"/>
              <w:left w:val="single" w:sz="4" w:color="D9D9D9"/>
              <w:bottom w:val="single" w:sz="4" w:color="D9D9D9"/>
              <w:right w:val="single" w:sz="4" w:color="D9D9D9"/>
            </w:tcBorders>
          </w:tcPr>
          <w:p>
            <w:pPr>
              <w:spacing w:before="120" w:after="120"/>
            </w:pPr>
            <w:r>
              <w:rPr>
                <w:color w:val="FFFFFF"/>
                <w:sz w:val="20"/>
              </w:rPr>
              <w:t>Deep blue</w:t>
            </w:r>
          </w:p>
        </w:tc>
        <w:tc>
          <w:tcPr>
            <w:tcW w:type="dxa" w:w="1584"/>
            <w:tcBorders>
              <w:top w:val="single" w:sz="4" w:color="D9D9D9"/>
              <w:left w:val="single" w:sz="4" w:color="D9D9D9"/>
              <w:bottom w:val="single" w:sz="4" w:color="D9D9D9"/>
              <w:right w:val="single" w:sz="4" w:color="D9D9D9"/>
            </w:tcBorders>
          </w:tcPr>
          <w:p>
            <w:pPr>
              <w:spacing w:before="120" w:after="120"/>
            </w:pPr>
            <w:r>
              <w:rPr>
                <w:sz w:val="20"/>
              </w:rPr>
              <w:t>#023047</w:t>
            </w:r>
          </w:p>
        </w:tc>
        <w:tc>
          <w:tcPr>
            <w:tcW w:type="dxa" w:w="6480"/>
            <w:tcBorders>
              <w:top w:val="single" w:sz="4" w:color="D9D9D9"/>
              <w:left w:val="single" w:sz="4" w:color="D9D9D9"/>
              <w:bottom w:val="single" w:sz="4" w:color="D9D9D9"/>
              <w:right w:val="single" w:sz="4" w:color="D9D9D9"/>
            </w:tcBorders>
          </w:tcPr>
          <w:p>
            <w:pPr>
              <w:spacing w:before="120" w:after="120"/>
            </w:pPr>
            <w:r>
              <w:rPr>
                <w:sz w:val="20"/>
              </w:rPr>
              <w:t>Dark backgrounds and primary text on light layouts</w:t>
            </w:r>
          </w:p>
        </w:tc>
      </w:tr>
      <w:tr>
        <w:tc>
          <w:tcPr>
            <w:tcW w:type="dxa" w:w="2016"/>
            <w:shd w:fill="FFB703"/>
            <w:tcBorders>
              <w:top w:val="single" w:sz="4" w:color="D9D9D9"/>
              <w:left w:val="single" w:sz="4" w:color="D9D9D9"/>
              <w:bottom w:val="single" w:sz="4" w:color="D9D9D9"/>
              <w:right w:val="single" w:sz="4" w:color="D9D9D9"/>
            </w:tcBorders>
          </w:tcPr>
          <w:p>
            <w:pPr>
              <w:spacing w:before="120" w:after="120"/>
            </w:pPr>
            <w:r>
              <w:rPr>
                <w:color w:val="000000"/>
                <w:sz w:val="20"/>
              </w:rPr>
              <w:t>Golden yellow</w:t>
            </w:r>
          </w:p>
        </w:tc>
        <w:tc>
          <w:tcPr>
            <w:tcW w:type="dxa" w:w="1584"/>
            <w:tcBorders>
              <w:top w:val="single" w:sz="4" w:color="D9D9D9"/>
              <w:left w:val="single" w:sz="4" w:color="D9D9D9"/>
              <w:bottom w:val="single" w:sz="4" w:color="D9D9D9"/>
              <w:right w:val="single" w:sz="4" w:color="D9D9D9"/>
            </w:tcBorders>
          </w:tcPr>
          <w:p>
            <w:pPr>
              <w:spacing w:before="120" w:after="120"/>
            </w:pPr>
            <w:r>
              <w:rPr>
                <w:sz w:val="20"/>
              </w:rPr>
              <w:t>#FFB703</w:t>
            </w:r>
          </w:p>
        </w:tc>
        <w:tc>
          <w:tcPr>
            <w:tcW w:type="dxa" w:w="6480"/>
            <w:tcBorders>
              <w:top w:val="single" w:sz="4" w:color="D9D9D9"/>
              <w:left w:val="single" w:sz="4" w:color="D9D9D9"/>
              <w:bottom w:val="single" w:sz="4" w:color="D9D9D9"/>
              <w:right w:val="single" w:sz="4" w:color="D9D9D9"/>
            </w:tcBorders>
          </w:tcPr>
          <w:p>
            <w:pPr>
              <w:spacing w:before="120" w:after="120"/>
            </w:pPr>
            <w:r>
              <w:rPr>
                <w:sz w:val="20"/>
              </w:rPr>
              <w:t>Selected words, important steps, and key ideas</w:t>
            </w:r>
          </w:p>
        </w:tc>
      </w:tr>
      <w:tr>
        <w:tc>
          <w:tcPr>
            <w:tcW w:type="dxa" w:w="2016"/>
            <w:shd w:fill="FB8500"/>
            <w:tcBorders>
              <w:top w:val="single" w:sz="4" w:color="D9D9D9"/>
              <w:left w:val="single" w:sz="4" w:color="D9D9D9"/>
              <w:bottom w:val="single" w:sz="4" w:color="D9D9D9"/>
              <w:right w:val="single" w:sz="4" w:color="D9D9D9"/>
            </w:tcBorders>
          </w:tcPr>
          <w:p>
            <w:pPr>
              <w:spacing w:before="120" w:after="120"/>
            </w:pPr>
            <w:r>
              <w:rPr>
                <w:color w:val="000000"/>
                <w:sz w:val="20"/>
              </w:rPr>
              <w:t>Orange</w:t>
            </w:r>
          </w:p>
        </w:tc>
        <w:tc>
          <w:tcPr>
            <w:tcW w:type="dxa" w:w="1584"/>
            <w:tcBorders>
              <w:top w:val="single" w:sz="4" w:color="D9D9D9"/>
              <w:left w:val="single" w:sz="4" w:color="D9D9D9"/>
              <w:bottom w:val="single" w:sz="4" w:color="D9D9D9"/>
              <w:right w:val="single" w:sz="4" w:color="D9D9D9"/>
            </w:tcBorders>
          </w:tcPr>
          <w:p>
            <w:pPr>
              <w:spacing w:before="120" w:after="120"/>
            </w:pPr>
            <w:r>
              <w:rPr>
                <w:sz w:val="20"/>
              </w:rPr>
              <w:t>#FB8500</w:t>
            </w:r>
          </w:p>
        </w:tc>
        <w:tc>
          <w:tcPr>
            <w:tcW w:type="dxa" w:w="6480"/>
            <w:tcBorders>
              <w:top w:val="single" w:sz="4" w:color="D9D9D9"/>
              <w:left w:val="single" w:sz="4" w:color="D9D9D9"/>
              <w:bottom w:val="single" w:sz="4" w:color="D9D9D9"/>
              <w:right w:val="single" w:sz="4" w:color="D9D9D9"/>
            </w:tcBorders>
          </w:tcPr>
          <w:p>
            <w:pPr>
              <w:spacing w:before="120" w:after="120"/>
            </w:pPr>
            <w:r>
              <w:rPr>
                <w:sz w:val="20"/>
              </w:rPr>
              <w:t>Selective accents and calls to action</w:t>
            </w:r>
          </w:p>
        </w:tc>
      </w:tr>
      <w:tr>
        <w:tc>
          <w:tcPr>
            <w:tcW w:type="dxa" w:w="2016"/>
            <w:shd w:fill="FFFFFF"/>
            <w:tcBorders>
              <w:top w:val="single" w:sz="4" w:color="D9D9D9"/>
              <w:left w:val="single" w:sz="4" w:color="D9D9D9"/>
              <w:bottom w:val="single" w:sz="4" w:color="D9D9D9"/>
              <w:right w:val="single" w:sz="4" w:color="D9D9D9"/>
            </w:tcBorders>
          </w:tcPr>
          <w:p>
            <w:pPr>
              <w:spacing w:before="120" w:after="120"/>
            </w:pPr>
            <w:r>
              <w:rPr>
                <w:color w:val="000000"/>
                <w:sz w:val="20"/>
              </w:rPr>
              <w:t>White</w:t>
            </w:r>
          </w:p>
        </w:tc>
        <w:tc>
          <w:tcPr>
            <w:tcW w:type="dxa" w:w="1584"/>
            <w:tcBorders>
              <w:top w:val="single" w:sz="4" w:color="D9D9D9"/>
              <w:left w:val="single" w:sz="4" w:color="D9D9D9"/>
              <w:bottom w:val="single" w:sz="4" w:color="D9D9D9"/>
              <w:right w:val="single" w:sz="4" w:color="D9D9D9"/>
            </w:tcBorders>
          </w:tcPr>
          <w:p>
            <w:pPr>
              <w:spacing w:before="120" w:after="120"/>
            </w:pPr>
            <w:r>
              <w:rPr>
                <w:sz w:val="20"/>
              </w:rPr>
              <w:t>#FFFFFF</w:t>
            </w:r>
          </w:p>
        </w:tc>
        <w:tc>
          <w:tcPr>
            <w:tcW w:type="dxa" w:w="6480"/>
            <w:tcBorders>
              <w:top w:val="single" w:sz="4" w:color="D9D9D9"/>
              <w:left w:val="single" w:sz="4" w:color="D9D9D9"/>
              <w:bottom w:val="single" w:sz="4" w:color="D9D9D9"/>
              <w:right w:val="single" w:sz="4" w:color="D9D9D9"/>
            </w:tcBorders>
          </w:tcPr>
          <w:p>
            <w:pPr>
              <w:spacing w:before="120" w:after="120"/>
            </w:pPr>
            <w:r>
              <w:rPr>
                <w:sz w:val="20"/>
              </w:rPr>
              <w:t>Supporting neutral and text on deep blue</w:t>
            </w:r>
          </w:p>
        </w:tc>
      </w:tr>
    </w:tbl>
    <w:p>
      <w:pPr>
        <w:pStyle w:val="Heading1"/>
      </w:pPr>
      <w:r>
        <w:t>Color application</w:t>
      </w:r>
    </w:p>
    <w:p>
      <w:r>
        <w:t>Balance light and deep-blue layouts. Use yellow and orange selectively to bring energy and hope while maintaining a calm, grounded feel. Keep explanatory text deep blue on light backgrounds or white on deep blue. Avoid yellow or orange for small text on white backgrounds.</w:t>
      </w:r>
    </w:p>
    <w:p>
      <w:pPr>
        <w:pStyle w:val="Heading1"/>
      </w:pPr>
      <w:r>
        <w:t>Typography</w:t>
      </w:r>
    </w:p>
    <w:p>
      <w:r>
        <w:t>Starting font setup:</w:t>
        <w:br/>
        <w:t>Oswald — short, emphatic titles; bold and uppercase.</w:t>
        <w:br/>
        <w:t>Open Sans — subheadings.</w:t>
        <w:br/>
        <w:t>Roboto — readable body text and longer explanations.</w:t>
        <w:br/>
        <w:t>Playfair Display — reflective questions, quotations, and highlights; italics optional.</w:t>
      </w:r>
    </w:p>
    <w:p>
      <w:r>
        <w:t>Final font roles will be confirmed through sample layouts.</w:t>
      </w:r>
    </w:p>
    <w:p>
      <w:r>
        <w:t>Font names are specifications, not font samples. Playfair Display is a serif typeface. Do not substitute Playlist Script or another handwriting font. Verify the actual font selected in the design editor.</w:t>
      </w:r>
    </w:p>
    <w:p>
      <w:r>
        <w:br w:type="page"/>
      </w:r>
    </w:p>
    <w:p>
      <w:pPr>
        <w:pStyle w:val="Heading1"/>
      </w:pPr>
      <w:r>
        <w:t>Brand voice</w:t>
      </w:r>
    </w:p>
    <w:p>
      <w:r>
        <w:t>Sound like a warm conversation with a knowledgeable colleague.</w:t>
      </w:r>
    </w:p>
    <w:p>
      <w:r>
        <w:t>Help readers feel understood. Explain research in plain language and connect it to recognizable situations at work. Offer a practical question, action, or invitation.</w:t>
      </w:r>
    </w:p>
    <w:p>
      <w:r>
        <w:t>Avoid sales pressure, exaggerated promises, leadership clichés, motivational slogans, academic jargon, lengthy explanations, and language that blames or diagnoses readers.</w:t>
      </w:r>
    </w:p>
    <w:p>
      <w:r>
        <w:t>Prefer “recover composure.” Avoid “regain access” and “That changed everything.”</w:t>
      </w:r>
    </w:p>
    <w:p>
      <w:pPr>
        <w:pStyle w:val="Heading1"/>
      </w:pPr>
      <w:r>
        <w:t>Icons and diagrams</w:t>
      </w:r>
    </w:p>
    <w:p>
      <w:r>
        <w:t>Develop consistent icons for Mental Agility, Emotional Flexibility, Energy, pressure, choices, and finding a way forward.</w:t>
      </w:r>
    </w:p>
    <w:p>
      <w:r>
        <w:t>Compare visual examples before selecting an icon style. Pair unfamiliar symbols with clear labels.</w:t>
      </w:r>
    </w:p>
    <w:p>
      <w:r>
        <w:t>Explain one main idea per diagram. Prioritize relationships among concepts, steps in a practice, and choices or shifts in perspective.</w:t>
      </w:r>
    </w:p>
    <w:p>
      <w:pPr>
        <w:pStyle w:val="Heading1"/>
      </w:pPr>
      <w:r>
        <w:t>Charts and research attribution</w:t>
      </w:r>
    </w:p>
    <w:p>
      <w:r>
        <w:t>Present numerical findings with simple charts, clear labels, and an identifiable source. Use color consistently and avoid unnecessary decoration.</w:t>
      </w:r>
    </w:p>
    <w:p>
      <w:r>
        <w:t>Choose citation placement for the format. Keep attribution readable and provide enough information to locate the source.</w:t>
      </w:r>
    </w:p>
    <w:p>
      <w:r>
        <w:t>Distinguish research findings from Susan’s frameworks and illustrative examples.</w:t>
      </w:r>
    </w:p>
    <w:p>
      <w:r>
        <w:br w:type="page"/>
      </w:r>
    </w:p>
    <w:p>
      <w:pPr>
        <w:pStyle w:val="Heading1"/>
      </w:pPr>
      <w:r>
        <w:t>Reusable layouts</w:t>
      </w:r>
    </w:p>
    <w:p>
      <w:r>
        <w:t>Develop coordinated layouts for:</w:t>
        <w:br/>
        <w:t>• LinkedIn insight posts — light and deep-blue versions</w:t>
        <w:br/>
        <w:t>• Workshop and event promotions</w:t>
        <w:br/>
        <w:t>• Frameworks and teaching slides</w:t>
        <w:br/>
        <w:t>• Coaching offers and one-pagers</w:t>
        <w:br/>
        <w:t>• Video question cards</w:t>
        <w:br/>
        <w:t>• Video thumbnails</w:t>
      </w:r>
    </w:p>
    <w:p>
      <w:r>
        <w:t>Establish consistent placement for headlines, supporting content, images or diagrams, name, logo, and sources.</w:t>
      </w:r>
    </w:p>
    <w:p>
      <w:pPr>
        <w:pStyle w:val="Heading1"/>
      </w:pPr>
      <w:r>
        <w:t>Status and next decisions</w:t>
      </w:r>
    </w:p>
    <w:p>
      <w:r>
        <w:t>Confirmed direction: identity, audience, core message, desired feel, visual approach, voice, and exact brand colors.</w:t>
      </w:r>
    </w:p>
    <w:p>
      <w:r>
        <w:t>Still to confirm through visual examples:</w:t>
        <w:br/>
        <w:t>• Final font roles</w:t>
        <w:br/>
        <w:t>• Logo variants and placement on light and dark backgrounds</w:t>
        <w:br/>
        <w:t>• Icon style</w:t>
        <w:br/>
        <w:t>• Amount and placement of yellow and orange</w:t>
        <w:br/>
        <w:t>• Finished reusable layouts</w:t>
      </w:r>
    </w:p>
    <w:p>
      <w:r>
        <w:t>The older PuP Brand Kit is outdated. Use this working guide for the current direction.</w:t>
      </w:r>
    </w:p>
    <w:p>
      <w:pPr>
        <w:pStyle w:val="Heading1"/>
      </w:pPr>
      <w:r>
        <w:t>Using this guide</w:t>
      </w:r>
    </w:p>
    <w:p>
      <w:r>
        <w:t>Keep one current guide alongside the Canva Brand Kit and reusable templates. The kit stores assets; this guide explains their use; templates provide repeatable layouts. Update this guide when a proposed rule is confirmed, rather than leaving conflicting versions in circulation.</w:t>
      </w:r>
    </w:p>
    <w:p>
      <w:r>
        <w:br w:type="page"/>
      </w:r>
    </w:p>
    <w:p>
      <w:pPr>
        <w:pStyle w:val="Heading1"/>
      </w:pPr>
      <w:r>
        <w:t>Finding and using the logos</w:t>
      </w:r>
    </w:p>
    <w:p>
      <w:r>
        <w:t>The original logo assets are stored in Canva. Use the original assets rather than cropping screenshots or recreating the mark.</w:t>
      </w:r>
    </w:p>
    <w:p>
      <w:pPr>
        <w:pStyle w:val="Heading2"/>
      </w:pPr>
      <w:r>
        <w:t>Where to find the logo collection</w:t>
      </w:r>
    </w:p>
    <w:p>
      <w:r>
        <w:t>1. Sign in to Canva with access to Susan’s Canva team or shared brand assets.</w:t>
      </w:r>
    </w:p>
    <w:p>
      <w:r>
        <w:t>2. Open a design and select Brand in the left sidebar.</w:t>
      </w:r>
    </w:p>
    <w:p>
      <w:r>
        <w:t>3. Select the kit named Powerful Under Pressure – Blue and Orange. Choose the original kit, not Copy of Powerful Under Pressure – Blue and Orange or the older Shift Beyond Strategies kit.</w:t>
      </w:r>
    </w:p>
    <w:p>
      <w:r>
        <w:t>4. Select Logos. Browse the full collection to find the full logo with the business name or a standalone symbol in the required color.</w:t>
      </w:r>
    </w:p>
    <w:p>
      <w:pPr>
        <w:pStyle w:val="Heading2"/>
      </w:pPr>
      <w:r>
        <w:t>Direct link to the logo design</w:t>
      </w:r>
    </w:p>
    <w:p>
      <w:r>
        <w:t>A separate Canva design named Powerful Under Pressure Logo is also available. This link opens that design; the complete variation collection is in the Brand Kit above.</w:t>
      </w:r>
    </w:p>
    <w:p>
      <w:hyperlink r:id="rId10">
        <w:r>
          <w:rPr>
            <w:color w:val="023047"/>
            <w:u w:val="single"/>
          </w:rPr>
          <w:t>Open Powerful Under Pressure Logo in Canva</w:t>
        </w:r>
      </w:hyperlink>
    </w:p>
    <w:p>
      <w:pPr>
        <w:pStyle w:val="Heading2"/>
      </w:pPr>
      <w:r>
        <w:t>Which version to choose</w:t>
      </w:r>
    </w:p>
    <w:p>
      <w:r>
        <w:t>Full logo with the business name: the default for introductions, one-pagers, and standalone materials.</w:t>
        <w:br/>
        <w:t>White logo: for deep-blue or other dark backgrounds.</w:t>
        <w:br/>
        <w:t>Standalone symbol: for small supporting placements where the business name is already visible.</w:t>
        <w:br/>
        <w:t>Gold or orange symbol: an accent option; check its visibility on the chosen background.</w:t>
      </w:r>
    </w:p>
    <w:p>
      <w:pPr>
        <w:pStyle w:val="Heading2"/>
      </w:pPr>
      <w:r>
        <w:t>Make the assets usable outside Canva</w:t>
      </w:r>
    </w:p>
    <w:p>
      <w:r>
        <w:t>Place the selected logo on a separate Canva page and download it using the available export options. Use a PNG with transparent background when available for slides, documents, and video overlays. Request an SVG for scalable artwork when available. If transparent or SVG export is unavailable, ask Susan for the original file.</w:t>
      </w:r>
    </w:p>
    <w:p>
      <w:r>
        <w:t>Keep the logo’s proportions. Do not stretch, crop, redraw, or recolor it. Leave clear space around it and check that any business-name lettering remains readable.</w:t>
      </w:r>
    </w:p>
    <w:p>
      <w:pPr>
        <w:pStyle w:val="Heading2"/>
      </w:pPr>
      <w:r>
        <w:t>Access and handoff</w:t>
      </w:r>
    </w:p>
    <w:p>
      <w:r>
        <w:t>This guide does not grant Canva access. If the recipient cannot open the kit or linked design, Susan must provide access or send the exported originals. Suggested filenames: PuP_FullLogo_Blue.png, PuP_FullLogo_White.png, PuP_Symbol_Blue.png, and PuP_Symbol_Gold.png. These are naming recommendations, not existing downloaded files.</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Dr. Susan Bernstein  |  Powerful Under Pressure  |  Working draft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canva.com/d/QAygwbDs6Pq27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